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D5D" w:rsidRDefault="00872D5D" w:rsidP="00872D5D">
      <w:pPr>
        <w:pStyle w:val="Standard"/>
        <w:jc w:val="center"/>
        <w:rPr>
          <w:rFonts w:hint="eastAsia"/>
          <w:b/>
        </w:rPr>
      </w:pPr>
      <w:r>
        <w:rPr>
          <w:b/>
        </w:rPr>
        <w:t>SPRÁVA  NEZÁVISLÉHO  AUDÍTORA</w:t>
      </w:r>
    </w:p>
    <w:p w:rsidR="00872D5D" w:rsidRDefault="00872D5D" w:rsidP="00872D5D">
      <w:pPr>
        <w:pStyle w:val="Standard"/>
        <w:jc w:val="center"/>
        <w:rPr>
          <w:rFonts w:hint="eastAsia"/>
          <w:sz w:val="22"/>
          <w:szCs w:val="22"/>
        </w:rPr>
      </w:pPr>
      <w:r>
        <w:rPr>
          <w:sz w:val="22"/>
          <w:szCs w:val="22"/>
        </w:rPr>
        <w:t>Obecnému zastupiteľstvu obce Malé Zálužie</w:t>
      </w: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b/>
          <w:i/>
        </w:rPr>
      </w:pPr>
      <w:r>
        <w:rPr>
          <w:b/>
          <w:i/>
        </w:rPr>
        <w:t>Správa k účtovnej závierke</w:t>
      </w:r>
    </w:p>
    <w:p w:rsidR="00872D5D" w:rsidRDefault="00872D5D" w:rsidP="00872D5D">
      <w:pPr>
        <w:pStyle w:val="Standard"/>
        <w:ind w:right="-468"/>
        <w:jc w:val="both"/>
        <w:rPr>
          <w:rFonts w:hint="eastAsia"/>
          <w:b/>
        </w:rPr>
      </w:pP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sz w:val="22"/>
          <w:szCs w:val="22"/>
        </w:rPr>
      </w:pPr>
      <w:r>
        <w:rPr>
          <w:sz w:val="22"/>
          <w:szCs w:val="22"/>
        </w:rPr>
        <w:t>Uskutočnila  som audit  priloženej  účtovnej závierky obce Malé Zálužie, ktorá obsahuje súvahu k 31.12.2013, výkaz ziskov a strát za rok končiaci k uvedenému dátumu, a poznámky, ktoré obsahujú súhrn významných účtovných zásad a účtovných metód a ďalšie vysvetľujúce informácie.</w:t>
      </w: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i/>
          <w:sz w:val="22"/>
          <w:szCs w:val="22"/>
        </w:rPr>
      </w:pPr>
      <w:r>
        <w:rPr>
          <w:i/>
          <w:sz w:val="22"/>
          <w:szCs w:val="22"/>
        </w:rPr>
        <w:t>Zodpovednosť štatutárneho orgánu obce za účtovnú závierku</w:t>
      </w: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sz w:val="22"/>
          <w:szCs w:val="22"/>
        </w:rPr>
      </w:pPr>
      <w:r>
        <w:rPr>
          <w:sz w:val="22"/>
          <w:szCs w:val="22"/>
        </w:rPr>
        <w:t>Starostka  obce  je  zodpovedná  za  zostavenie    účtovnej  závierky, ktorá poskytuje pravdivý a verný obraz v súlade so Zákonom o účtovníctve č. 431/2002 Z.z. v znení neskorších predpisov /ďalej len „zákon o účtovníctve“/ a za interné kontroly, ktoré štatutárny orgán považuje za potrebné pre zostavenie účtovnej závierky, ktorá neobsahuje významné nesprávnosti, či už v dôsledku podvodu alebo chyby.</w:t>
      </w: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rPr>
      </w:pPr>
      <w:r>
        <w:rPr>
          <w:sz w:val="22"/>
          <w:szCs w:val="22"/>
        </w:rPr>
        <w:t>Starostka obce je zodpovedná za dodržiavanie pravidiel rozpočtového hospodárenia, vývoj dlhu a používanie návratných zdrojov financovania podľa zákona č. 583/2004 Z.z. o rozpočtových pravidlách územnej samosprávy a o zmene a doplnení niektorých zákonov  v platnom znení /ďalej lej „zákon o rozpočtových pravidlách“/.</w:t>
      </w:r>
    </w:p>
    <w:p w:rsidR="00872D5D" w:rsidRDefault="00872D5D" w:rsidP="00872D5D">
      <w:pPr>
        <w:pStyle w:val="Standard"/>
        <w:ind w:right="-468"/>
        <w:jc w:val="both"/>
        <w:rPr>
          <w:rFonts w:hint="eastAsia"/>
          <w:sz w:val="22"/>
          <w:szCs w:val="22"/>
        </w:rPr>
      </w:pPr>
      <w:r>
        <w:rPr>
          <w:sz w:val="22"/>
          <w:szCs w:val="22"/>
        </w:rPr>
        <w:t xml:space="preserve"> </w:t>
      </w:r>
    </w:p>
    <w:p w:rsidR="00872D5D" w:rsidRDefault="00872D5D" w:rsidP="00872D5D">
      <w:pPr>
        <w:pStyle w:val="Standard"/>
        <w:ind w:right="-468"/>
        <w:jc w:val="both"/>
        <w:rPr>
          <w:rFonts w:hint="eastAsia"/>
          <w:i/>
          <w:sz w:val="22"/>
          <w:szCs w:val="22"/>
        </w:rPr>
      </w:pPr>
    </w:p>
    <w:p w:rsidR="00872D5D" w:rsidRDefault="00872D5D" w:rsidP="00872D5D">
      <w:pPr>
        <w:pStyle w:val="Standard"/>
        <w:ind w:right="-468"/>
        <w:jc w:val="both"/>
        <w:rPr>
          <w:rFonts w:hint="eastAsia"/>
          <w:i/>
          <w:sz w:val="22"/>
          <w:szCs w:val="22"/>
        </w:rPr>
      </w:pPr>
      <w:r>
        <w:rPr>
          <w:i/>
          <w:sz w:val="22"/>
          <w:szCs w:val="22"/>
        </w:rPr>
        <w:t>Zodpovednosť audítora</w:t>
      </w: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rPr>
      </w:pPr>
      <w:r>
        <w:rPr>
          <w:sz w:val="22"/>
          <w:szCs w:val="22"/>
        </w:rPr>
        <w:t xml:space="preserve">Mojou zodpovednosťou je vyjadriť názor na túto účtovnú závierku na základe môjho auditu. Audit som uskutočnila  v súlade s Medzinárodnými audítorskými štandardmi. Podľa týchto štandardov mám dodržiavať etické požiadavky, naplánovať a vykonať audit tak,  aby  som získala primerané  uistenie,  že účtovná  závierka  neobsahuje </w:t>
      </w:r>
      <w:r>
        <w:rPr>
          <w:i/>
          <w:sz w:val="22"/>
          <w:szCs w:val="22"/>
        </w:rPr>
        <w:t xml:space="preserve">významné </w:t>
      </w:r>
      <w:r>
        <w:rPr>
          <w:sz w:val="22"/>
          <w:szCs w:val="22"/>
        </w:rPr>
        <w:t>nesprávnosti. Súčasťou auditu je uskutočnenie postupov na získanie audítorských dôkazov o sumách a údajoch vykázaných v účtovnej závierke.</w:t>
      </w: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sz w:val="22"/>
          <w:szCs w:val="22"/>
        </w:rPr>
      </w:pPr>
      <w:r>
        <w:rPr>
          <w:sz w:val="22"/>
          <w:szCs w:val="22"/>
        </w:rPr>
        <w:t>Súčasťou auditu je aj zhodnotenie rozpočtového hospodárenia a zadĺženosti obce a overenie použitia návratných zdrojov financovania, vyplývajúce zo zákona  o rozpočtových pravidlách, platných v SR pre územnú samosprávu v znení neskorších predpisov.</w:t>
      </w: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rPr>
      </w:pPr>
      <w:r>
        <w:rPr>
          <w:sz w:val="22"/>
          <w:szCs w:val="22"/>
        </w:rPr>
        <w:t>Zvolené postupy závisia od úsudku audítora, vrátane posúdenia rizík významnej nesprávnosti v účtovnej závierke, či už v dôsledku podvodu alebo chyby. Pri posudzovaní tohto rizika audítor berie do úvahy interné kontroly relevantné pre zostavenie účtovnej závierky  účtovnej jednotky, ktorá poskytuje pravdivý a verný obraz, aby mohol vypracovať audítorské postupy vhodné za daných okolností, nie však na účely vyjadrenia názoru na účinnosť interných kontrol účtovnej jednotky. Audit ďalej zahŕňa vyhodnotenie vhodnosti použitých účtovných zásad a účtovných metód a primeranosti účtovných odhadov uskutočnených štatutárnym orgánom, ako aj zhodnotenie prezentácie účtovnej závierky ako celku.</w:t>
      </w:r>
    </w:p>
    <w:p w:rsidR="00872D5D" w:rsidRDefault="00872D5D" w:rsidP="00872D5D">
      <w:pPr>
        <w:pStyle w:val="Standard"/>
        <w:ind w:right="-468"/>
        <w:jc w:val="both"/>
        <w:rPr>
          <w:rFonts w:hint="eastAsia"/>
          <w:sz w:val="22"/>
          <w:szCs w:val="22"/>
        </w:rPr>
      </w:pPr>
    </w:p>
    <w:p w:rsidR="00872D5D" w:rsidRDefault="00872D5D" w:rsidP="00872D5D">
      <w:pPr>
        <w:pStyle w:val="Standard"/>
        <w:ind w:right="-468"/>
        <w:jc w:val="both"/>
        <w:rPr>
          <w:rFonts w:hint="eastAsia"/>
          <w:sz w:val="22"/>
          <w:szCs w:val="22"/>
        </w:rPr>
      </w:pPr>
      <w:r>
        <w:rPr>
          <w:sz w:val="22"/>
          <w:szCs w:val="22"/>
        </w:rPr>
        <w:t>Som presvedčená, že audítorské dôkazy, ktoré som získala, poskytujú  dostatočný  a vhodný základ  pre môj audítorský názor.</w:t>
      </w: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i/>
          <w:sz w:val="22"/>
          <w:szCs w:val="22"/>
        </w:rPr>
      </w:pPr>
      <w:r>
        <w:rPr>
          <w:i/>
          <w:sz w:val="22"/>
          <w:szCs w:val="22"/>
        </w:rPr>
        <w:t>Názor</w:t>
      </w: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sz w:val="22"/>
          <w:szCs w:val="22"/>
        </w:rPr>
      </w:pPr>
      <w:r>
        <w:rPr>
          <w:sz w:val="22"/>
          <w:szCs w:val="22"/>
        </w:rPr>
        <w:t xml:space="preserve">Podľa  môjho  názoru,  účtovná  závierka poskytuje pravdivý a verný  obraz   finančnej  situácie  obce  Malé Zálužie  k  31.12.2013    a    výsledky   jej  hospodárenia   za  rok   končiaci   sa   k   uvedenému  dátumu  </w:t>
      </w:r>
    </w:p>
    <w:p w:rsidR="00872D5D" w:rsidRDefault="00872D5D" w:rsidP="00872D5D">
      <w:pPr>
        <w:pStyle w:val="Standard"/>
        <w:ind w:right="-567"/>
        <w:jc w:val="both"/>
        <w:rPr>
          <w:rFonts w:hint="eastAsia"/>
          <w:sz w:val="22"/>
          <w:szCs w:val="22"/>
        </w:rPr>
      </w:pPr>
      <w:r>
        <w:rPr>
          <w:sz w:val="22"/>
          <w:szCs w:val="22"/>
        </w:rPr>
        <w:t>v  súlade so zákonom o účtovníctve.</w:t>
      </w: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center"/>
        <w:rPr>
          <w:rFonts w:hint="eastAsia"/>
          <w:sz w:val="22"/>
          <w:szCs w:val="22"/>
        </w:rPr>
      </w:pPr>
      <w:r>
        <w:rPr>
          <w:sz w:val="22"/>
          <w:szCs w:val="22"/>
        </w:rPr>
        <w:t>- 2. -</w:t>
      </w:r>
    </w:p>
    <w:p w:rsidR="00872D5D" w:rsidRDefault="00872D5D" w:rsidP="00872D5D">
      <w:pPr>
        <w:pStyle w:val="Standard"/>
        <w:ind w:right="-567"/>
        <w:jc w:val="center"/>
        <w:rPr>
          <w:rFonts w:hint="eastAsia"/>
          <w:sz w:val="22"/>
          <w:szCs w:val="22"/>
        </w:rPr>
      </w:pP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sz w:val="22"/>
          <w:szCs w:val="22"/>
        </w:rPr>
      </w:pPr>
    </w:p>
    <w:p w:rsidR="00872D5D" w:rsidRDefault="00872D5D" w:rsidP="00872D5D">
      <w:pPr>
        <w:pStyle w:val="Standard"/>
        <w:ind w:right="-567"/>
        <w:jc w:val="both"/>
        <w:rPr>
          <w:rFonts w:hint="eastAsia"/>
          <w:b/>
          <w:sz w:val="22"/>
          <w:szCs w:val="22"/>
        </w:rPr>
      </w:pPr>
      <w:r>
        <w:rPr>
          <w:b/>
          <w:sz w:val="22"/>
          <w:szCs w:val="22"/>
        </w:rPr>
        <w:t>Správa o ďalších požiadavkách zákonov a predpisov</w:t>
      </w:r>
    </w:p>
    <w:p w:rsidR="00872D5D" w:rsidRDefault="00872D5D" w:rsidP="00872D5D">
      <w:pPr>
        <w:pStyle w:val="Standard"/>
        <w:ind w:right="3827"/>
        <w:jc w:val="both"/>
        <w:rPr>
          <w:rFonts w:hint="eastAsia"/>
          <w:sz w:val="22"/>
          <w:szCs w:val="22"/>
        </w:rPr>
      </w:pPr>
      <w:r>
        <w:rPr>
          <w:sz w:val="22"/>
          <w:szCs w:val="22"/>
        </w:rPr>
        <w:t xml:space="preserve">                                     </w:t>
      </w:r>
    </w:p>
    <w:p w:rsidR="00872D5D" w:rsidRDefault="00872D5D" w:rsidP="00872D5D">
      <w:pPr>
        <w:pStyle w:val="Standard"/>
        <w:ind w:right="-567"/>
        <w:rPr>
          <w:rFonts w:hint="eastAsia"/>
          <w:sz w:val="22"/>
          <w:szCs w:val="22"/>
        </w:rPr>
      </w:pPr>
      <w:r>
        <w:rPr>
          <w:sz w:val="22"/>
          <w:szCs w:val="22"/>
        </w:rPr>
        <w:t xml:space="preserve">                                     </w:t>
      </w:r>
    </w:p>
    <w:p w:rsidR="00872D5D" w:rsidRDefault="00872D5D" w:rsidP="00872D5D">
      <w:pPr>
        <w:pStyle w:val="Standard"/>
        <w:jc w:val="both"/>
        <w:rPr>
          <w:rFonts w:hint="eastAsia"/>
        </w:rPr>
      </w:pPr>
      <w:r>
        <w:rPr>
          <w:sz w:val="22"/>
          <w:szCs w:val="22"/>
        </w:rPr>
        <w:t>Na základe overenia rozpočtového hospodárenia zachyteného v poznámkach účtovnej závierky  konštatujem, že som nezistila významné skutočnosti, ktoré by spochybňovali vykázané výsledky rozpočtového hospodárenia. Stav vykázaného dlhu obce a návratných zdrojov podľa môjho overenia je zhodný so stavom vykázaným v účtovnej závierke.</w:t>
      </w: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r>
        <w:rPr>
          <w:sz w:val="22"/>
          <w:szCs w:val="22"/>
        </w:rPr>
        <w:t>meno a priezvisko audítora:  Ing. Marta Serenčéšová</w:t>
      </w: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r>
        <w:rPr>
          <w:sz w:val="22"/>
          <w:szCs w:val="22"/>
        </w:rPr>
        <w:t>číslo licencie:  808</w:t>
      </w: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r>
        <w:rPr>
          <w:sz w:val="22"/>
          <w:szCs w:val="22"/>
        </w:rPr>
        <w:t>podpis audítora:</w:t>
      </w: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r>
        <w:rPr>
          <w:sz w:val="22"/>
          <w:szCs w:val="22"/>
        </w:rPr>
        <w:t>dátum správy audítora:  27.06.2014</w:t>
      </w:r>
    </w:p>
    <w:p w:rsidR="00872D5D" w:rsidRDefault="00872D5D" w:rsidP="00872D5D">
      <w:pPr>
        <w:pStyle w:val="Standard"/>
        <w:jc w:val="both"/>
        <w:rPr>
          <w:rFonts w:hint="eastAsia"/>
          <w:sz w:val="22"/>
          <w:szCs w:val="22"/>
        </w:rPr>
      </w:pPr>
    </w:p>
    <w:p w:rsidR="00872D5D" w:rsidRDefault="00872D5D" w:rsidP="00872D5D">
      <w:pPr>
        <w:pStyle w:val="Standard"/>
        <w:jc w:val="both"/>
        <w:rPr>
          <w:rFonts w:hint="eastAsia"/>
          <w:sz w:val="22"/>
          <w:szCs w:val="22"/>
        </w:rPr>
      </w:pPr>
      <w:r>
        <w:rPr>
          <w:sz w:val="22"/>
          <w:szCs w:val="22"/>
        </w:rPr>
        <w:t>adresa audítora: Nitrianska ul. č. 644</w:t>
      </w:r>
    </w:p>
    <w:p w:rsidR="00872D5D" w:rsidRDefault="00872D5D" w:rsidP="00872D5D">
      <w:pPr>
        <w:pStyle w:val="Standard"/>
        <w:jc w:val="both"/>
        <w:rPr>
          <w:rFonts w:hint="eastAsia"/>
          <w:sz w:val="22"/>
          <w:szCs w:val="22"/>
        </w:rPr>
      </w:pPr>
      <w:r>
        <w:rPr>
          <w:sz w:val="22"/>
          <w:szCs w:val="22"/>
        </w:rPr>
        <w:t xml:space="preserve">                          925 51 Šintava</w:t>
      </w:r>
    </w:p>
    <w:p w:rsidR="00872D5D" w:rsidRDefault="00872D5D" w:rsidP="00872D5D">
      <w:pPr>
        <w:pStyle w:val="Standard"/>
        <w:ind w:right="-648"/>
        <w:rPr>
          <w:rFonts w:hint="eastAsia"/>
          <w:sz w:val="22"/>
          <w:szCs w:val="22"/>
        </w:rPr>
      </w:pPr>
    </w:p>
    <w:p w:rsidR="00872D5D" w:rsidRDefault="00872D5D" w:rsidP="00872D5D">
      <w:pPr>
        <w:pStyle w:val="Default"/>
        <w:rPr>
          <w:b/>
          <w:bCs/>
          <w:sz w:val="20"/>
          <w:szCs w:val="20"/>
        </w:rPr>
      </w:pPr>
    </w:p>
    <w:p w:rsidR="00872D5D" w:rsidRDefault="00872D5D" w:rsidP="00872D5D">
      <w:pPr>
        <w:pStyle w:val="Standard"/>
        <w:rPr>
          <w:rFonts w:hint="eastAsia"/>
        </w:rPr>
      </w:pPr>
    </w:p>
    <w:p w:rsidR="004504E0" w:rsidRDefault="004504E0"/>
    <w:sectPr w:rsidR="004504E0" w:rsidSect="004504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72D5D"/>
    <w:rsid w:val="004504E0"/>
    <w:rsid w:val="00872D5D"/>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4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872D5D"/>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Default">
    <w:name w:val="Default"/>
    <w:rsid w:val="00872D5D"/>
    <w:pPr>
      <w:suppressAutoHyphens/>
      <w:autoSpaceDE w:val="0"/>
      <w:autoSpaceDN w:val="0"/>
      <w:spacing w:after="0" w:line="240" w:lineRule="auto"/>
      <w:textAlignment w:val="baseline"/>
    </w:pPr>
    <w:rPr>
      <w:rFonts w:ascii="Times New Roman" w:eastAsia="Times New Roman" w:hAnsi="Times New Roman" w:cs="Times New Roman"/>
      <w:color w:val="000000"/>
      <w:kern w:val="3"/>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3140</Characters>
  <Application>Microsoft Office Word</Application>
  <DocSecurity>0</DocSecurity>
  <Lines>26</Lines>
  <Paragraphs>7</Paragraphs>
  <ScaleCrop>false</ScaleCrop>
  <Company>Hewlett-Packard Company</Company>
  <LinksUpToDate>false</LinksUpToDate>
  <CharactersWithSpaces>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Martuška</dc:creator>
  <cp:lastModifiedBy>Martuška</cp:lastModifiedBy>
  <cp:revision>1</cp:revision>
  <dcterms:created xsi:type="dcterms:W3CDTF">2014-06-30T11:44:00Z</dcterms:created>
  <dcterms:modified xsi:type="dcterms:W3CDTF">2014-06-30T11:44:00Z</dcterms:modified>
</cp:coreProperties>
</file>